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0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5206365</wp:posOffset>
            </wp:positionH>
            <wp:positionV relativeFrom="paragraph">
              <wp:posOffset>-610235</wp:posOffset>
            </wp:positionV>
            <wp:extent cx="57150" cy="6235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-610235</wp:posOffset>
            </wp:positionV>
            <wp:extent cx="57150" cy="623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641985</wp:posOffset>
            </wp:positionV>
            <wp:extent cx="6997065" cy="5608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560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20"/>
            <w:col w:w="842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Lin Xichen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STRUCTURE THERAPEUTICS INC.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601 GATEWAY BLVD., 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219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Structure Therapeutics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GPCR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700" w:hanging="1"/>
        <w:spacing w:after="0" w:line="24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SCIENTIFIC OFFICER</w:t>
      </w:r>
    </w:p>
    <w:p>
      <w:pPr>
        <w:spacing w:after="0" w:line="5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9" w:space="720"/>
            <w:col w:w="3341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94080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06/25/2026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23,634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0.34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252,594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06/25/2026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23,634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228,960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64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0.34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23,634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09/10/2029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23,634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190,166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7,878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23,634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Depositary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57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C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0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7,878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5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(7)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23,634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49.0792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Depositary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5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7,878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22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-2493010</wp:posOffset>
            </wp:positionV>
            <wp:extent cx="28575" cy="24980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49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price per share in Ordinary Shares.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Ordinary Shares were converted into American Depositary Shares as reported in Table II.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hanging="2"/>
        <w:spacing w:after="0" w:line="245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1/4 of the Ordinary Shares vested one year after July 22, 2019 (the "Vesting Commencement Date"); the balance of the Ordinary Shares vested in a series of 36 successive equal monthly installments measured from the first anniversary of the Vesting Commencement Date.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reflects the number of Ordinary Shares remaining under the share option following the partial exercise of the share option for 23,634 Ordinary Shares.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is convertible at any time, at the holder's election, into three Ordinary Shares of the Issuer. The American Depositary Shares have no expiration date.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23,634 Ordinary Shares, which were acquired upon exercise of a share option, were converted into 7,878 American Depositary Shares.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American Depositary Shares were sold pursuant to a Rule 10b5-1 trading plan entered into on March 26, 2026.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price per share in American Depositary Shares.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Jun Yoon, Attorney-in-Fact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06/29/2026</w:t>
            </w:r>
          </w:p>
        </w:tc>
      </w:tr>
      <w:tr>
        <w:trPr>
          <w:trHeight w:val="221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800" w:hanging="2"/>
        <w:spacing w:after="0" w:line="327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2926" TargetMode="External"/><Relationship Id="rId14" Type="http://schemas.openxmlformats.org/officeDocument/2006/relationships/hyperlink" Target="http://www.sec.gov/cgi-bin/browse-edgar?action=getcompany&amp;CIK=00018888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2026-06-29T19:34:07Z</dcterms:created>
  <dcterms:modified xsi:type="dcterms:W3CDTF">2026-06-29T19:34:07Z</dcterms:modified>
</cp:coreProperties>
</file>