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6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0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Russell Angus 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STRUCTURE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Structure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GPCR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520" w:type="dxa"/>
            <w:vAlign w:val="bottom"/>
            <w:gridSpan w:val="8"/>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13"/>
                <w:szCs w:val="13"/>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80" w:type="dxa"/>
            <w:vAlign w:val="bottom"/>
            <w:tcBorders>
              <w:bottom w:val="single" w:sz="8" w:color="2C2C2C"/>
            </w:tcBorders>
            <w:gridSpan w:val="1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line="191" w:lineRule="exact"/>
              <w:rPr>
                <w:sz w:val="20"/>
                <w:szCs w:val="20"/>
                <w:color w:val="auto"/>
              </w:rPr>
            </w:pPr>
            <w:r>
              <w:rPr>
                <w:rFonts w:ascii="Arial" w:cs="Arial" w:eastAsia="Arial" w:hAnsi="Arial"/>
                <w:sz w:val="19"/>
                <w:szCs w:val="19"/>
                <w:color w:val="000000"/>
                <w:vertAlign w:val="subscript"/>
              </w:rPr>
              <w:t>$</w:t>
            </w:r>
            <w:r>
              <w:rPr>
                <w:rFonts w:ascii="Times New Roman" w:cs="Times New Roman" w:eastAsia="Times New Roman" w:hAnsi="Times New Roman"/>
                <w:sz w:val="22"/>
                <w:szCs w:val="22"/>
                <w:color w:val="0000FF"/>
                <w:vertAlign w:val="subscript"/>
              </w:rPr>
              <w:t>15</w:t>
            </w:r>
            <w:r>
              <w:rPr>
                <w:rFonts w:ascii="Times New Roman" w:cs="Times New Roman" w:eastAsia="Times New Roman" w:hAnsi="Times New Roman"/>
                <w:sz w:val="10"/>
                <w:szCs w:val="10"/>
                <w:color w:val="008000"/>
              </w:rPr>
              <w:t>(1)</w:t>
            </w: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39,453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17"/>
                <w:szCs w:val="17"/>
                <w:color w:val="0000FF"/>
                <w:w w:val="98"/>
              </w:rPr>
              <w:t>39,453</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39,453</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Shares</w:t>
            </w: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price per share is equal to the fair market value per Ordinary Share on the grant date based on the trading price of the Issuer's American Depositary Shares ("ADSs").</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in equal monthly installments over the 12 months following June 17, 2026, provided that the grant will in any case be fully vested on the date immediately prior to the date of the Issuer's 2027 annual shareholder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4002" TargetMode="External"/><Relationship Id="rId14"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2026-06-18T16:08:25Z</dcterms:created>
  <dcterms:modified xsi:type="dcterms:W3CDTF">2026-06-18T16:08:25Z</dcterms:modified>
</cp:coreProperties>
</file>