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82026_050603.xml.htm"/>
      <w:bookmarkStart w:id="1" w:name="ksform406182026_0506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WELCH DANIEL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STRUCTURE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GATEWAY BLVD., SUITE 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Structure Therapeutics Inc.</w:t>
              </w:r>
            </w:hyperlink>
            <w:r>
              <w:rPr/>
              <w:t xml:space="preserve"> [ </w:t>
            </w:r>
            <w:r>
              <w:rPr>
                <w:rFonts w:ascii="Times;serif" w:hAnsi="Times;serif"/>
                <w:color w:val="0000FF"/>
                <w:sz w:val="24"/>
                <w:shd w:fill="FFFFFF" w:val="clear"/>
              </w:rPr>
              <w:t>GPCR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5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61"/>
        <w:gridCol w:w="861"/>
        <w:gridCol w:w="801"/>
        <w:gridCol w:w="936"/>
        <w:gridCol w:w="831"/>
        <w:gridCol w:w="846"/>
      </w:tblGrid>
      <w:tr>
        <w:trPr>
          <w:tblHeader w:val="true"/>
        </w:trPr>
        <w:tc>
          <w:tcPr>
            <w:tcW w:w="120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w:t>
            </w: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39,453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06/16/2036</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39,453</w:t>
            </w: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39,453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exercise price per share is equal to the fair market value per Ordinary Share on the grant date based on the trading price of the Issuer's American Depositary Shares ("ADSs").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vest in equal monthly installments over the 12 months following June 17, 2026, provided that the grant will in any case be fully vested on the date immediately prior to the date of the Issuer's 2027 annual shareholder meeting,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Ordinary Shares of the Issuer may be represented by ADSs. Each ADS represents three Ordinary Shares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Jun Yoon,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6199" TargetMode="External"/><Relationship Id="rId5" Type="http://schemas.openxmlformats.org/officeDocument/2006/relationships/hyperlink" Target="http://www.sec.gov/cgi-bin/browse-edgar?action=getcompany&amp;CIK=00018888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668</Words>
  <Characters>3579</Characters>
  <CharactersWithSpaces>4184</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