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7047230" cy="4660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6090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Waldstreicher Joanne</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STRUCTURE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601 GATEWAY BLVD., SUITE 900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7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Structure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GPCR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5" w:lineRule="exact"/>
        <w:rPr>
          <w:sz w:val="24"/>
          <w:szCs w:val="24"/>
          <w:color w:val="auto"/>
        </w:rPr>
      </w:pPr>
    </w:p>
    <w:p>
      <w:pPr>
        <w:sectPr>
          <w:pgSz w:w="11900" w:h="16838" w:orient="portrait"/>
          <w:cols w:equalWidth="0" w:num="3">
            <w:col w:w="3180" w:space="720"/>
            <w:col w:w="3116" w:space="720"/>
            <w:col w:w="334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520" w:type="dxa"/>
            <w:vAlign w:val="bottom"/>
            <w:gridSpan w:val="8"/>
          </w:tcPr>
          <w:p>
            <w:pPr>
              <w:jc w:val="center"/>
              <w:spacing w:after="0"/>
              <w:rPr>
                <w:sz w:val="20"/>
                <w:szCs w:val="20"/>
                <w:color w:val="auto"/>
              </w:rPr>
            </w:pPr>
            <w:r>
              <w:rPr>
                <w:rFonts w:ascii="Arial" w:cs="Arial" w:eastAsia="Arial" w:hAnsi="Arial"/>
                <w:sz w:val="13"/>
                <w:szCs w:val="13"/>
                <w:color w:val="auto"/>
                <w:w w:val="97"/>
              </w:rPr>
              <w:t>4. If Amendment, Date of Original Filed (Month/Day/Year)</w:t>
            </w:r>
          </w:p>
        </w:tc>
        <w:tc>
          <w:tcPr>
            <w:tcW w:w="220" w:type="dxa"/>
            <w:vAlign w:val="bottom"/>
          </w:tcPr>
          <w:p>
            <w:pPr>
              <w:spacing w:after="0"/>
              <w:rPr>
                <w:sz w:val="13"/>
                <w:szCs w:val="13"/>
                <w:color w:val="auto"/>
              </w:rPr>
            </w:pPr>
          </w:p>
        </w:tc>
        <w:tc>
          <w:tcPr>
            <w:tcW w:w="3580" w:type="dxa"/>
            <w:vAlign w:val="bottom"/>
            <w:gridSpan w:val="10"/>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gridSpan w:val="2"/>
          </w:tcPr>
          <w:p>
            <w:pPr>
              <w:ind w:left="24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9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20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gridSpan w:val="2"/>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40" w:type="dxa"/>
            <w:vAlign w:val="bottom"/>
            <w:tcBorders>
              <w:bottom w:val="single" w:sz="8" w:color="2C2C2C"/>
            </w:tcBorders>
            <w:gridSpan w:val="10"/>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4"/>
                <w:szCs w:val="14"/>
                <w:color w:val="auto"/>
              </w:rPr>
            </w:pPr>
          </w:p>
        </w:tc>
        <w:tc>
          <w:tcPr>
            <w:tcW w:w="182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20" w:type="dxa"/>
            <w:vAlign w:val="bottom"/>
            <w:gridSpan w:val="5"/>
          </w:tcPr>
          <w:p>
            <w:pPr>
              <w:ind w:left="20"/>
              <w:spacing w:after="0"/>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ind w:left="20"/>
              <w:spacing w:after="0"/>
              <w:rPr>
                <w:sz w:val="20"/>
                <w:szCs w:val="20"/>
                <w:color w:val="auto"/>
              </w:rPr>
            </w:pPr>
            <w:r>
              <w:rPr>
                <w:rFonts w:ascii="Arial" w:cs="Arial" w:eastAsia="Arial" w:hAnsi="Arial"/>
                <w:sz w:val="11"/>
                <w:szCs w:val="11"/>
                <w:b w:val="1"/>
                <w:bCs w:val="1"/>
                <w:color w:val="auto"/>
              </w:rPr>
              <w:t>5)</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780" w:type="dxa"/>
            <w:vAlign w:val="bottom"/>
            <w:gridSpan w:val="2"/>
          </w:tcPr>
          <w:p>
            <w:pPr>
              <w:ind w:left="340"/>
              <w:spacing w:after="0"/>
              <w:rPr>
                <w:sz w:val="20"/>
                <w:szCs w:val="20"/>
                <w:color w:val="auto"/>
              </w:rPr>
            </w:pPr>
            <w:r>
              <w:rPr>
                <w:rFonts w:ascii="Arial" w:cs="Arial" w:eastAsia="Arial" w:hAnsi="Arial"/>
                <w:sz w:val="11"/>
                <w:szCs w:val="11"/>
                <w:b w:val="1"/>
                <w:bCs w:val="1"/>
                <w:color w:val="auto"/>
              </w:rPr>
              <w:t>(A) or</w:t>
            </w:r>
          </w:p>
        </w:tc>
        <w:tc>
          <w:tcPr>
            <w:tcW w:w="5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560" w:type="dxa"/>
            <w:vAlign w:val="bottom"/>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22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5480" w:type="dxa"/>
            <w:vAlign w:val="bottom"/>
            <w:tcBorders>
              <w:bottom w:val="single" w:sz="8" w:color="2C2C2C"/>
            </w:tcBorders>
            <w:gridSpan w:val="12"/>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3"/>
          </w:tcPr>
          <w:p>
            <w:pPr>
              <w:jc w:val="center"/>
              <w:ind w:left="45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Underlying Derivative</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Security (Instr. 3 and</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20"/>
              <w:spacing w:after="0" w:line="191" w:lineRule="exact"/>
              <w:rPr>
                <w:sz w:val="20"/>
                <w:szCs w:val="20"/>
                <w:color w:val="auto"/>
              </w:rPr>
            </w:pPr>
            <w:r>
              <w:rPr>
                <w:rFonts w:ascii="Arial" w:cs="Arial" w:eastAsia="Arial" w:hAnsi="Arial"/>
                <w:sz w:val="19"/>
                <w:szCs w:val="19"/>
                <w:color w:val="000000"/>
                <w:vertAlign w:val="subscript"/>
              </w:rPr>
              <w:t>$</w:t>
            </w:r>
            <w:r>
              <w:rPr>
                <w:rFonts w:ascii="Times New Roman" w:cs="Times New Roman" w:eastAsia="Times New Roman" w:hAnsi="Times New Roman"/>
                <w:sz w:val="22"/>
                <w:szCs w:val="22"/>
                <w:color w:val="0000FF"/>
                <w:vertAlign w:val="subscript"/>
              </w:rPr>
              <w:t>15</w:t>
            </w:r>
            <w:r>
              <w:rPr>
                <w:rFonts w:ascii="Times New Roman" w:cs="Times New Roman" w:eastAsia="Times New Roman" w:hAnsi="Times New Roman"/>
                <w:sz w:val="10"/>
                <w:szCs w:val="10"/>
                <w:color w:val="008000"/>
              </w:rPr>
              <w:t>(1)</w:t>
            </w:r>
          </w:p>
        </w:tc>
        <w:tc>
          <w:tcPr>
            <w:tcW w:w="140" w:type="dxa"/>
            <w:vAlign w:val="bottom"/>
          </w:tcPr>
          <w:p>
            <w:pPr>
              <w:spacing w:after="0"/>
              <w:rPr>
                <w:sz w:val="16"/>
                <w:szCs w:val="16"/>
                <w:color w:val="auto"/>
              </w:rPr>
            </w:pPr>
          </w:p>
        </w:tc>
        <w:tc>
          <w:tcPr>
            <w:tcW w:w="10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06/17/2026</w:t>
            </w: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39,453</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06/16/2036</w:t>
            </w:r>
          </w:p>
        </w:tc>
        <w:tc>
          <w:tcPr>
            <w:tcW w:w="5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720" w:type="dxa"/>
            <w:vAlign w:val="bottom"/>
            <w:gridSpan w:val="2"/>
          </w:tcPr>
          <w:p>
            <w:pPr>
              <w:ind w:left="80"/>
              <w:spacing w:after="0" w:line="192" w:lineRule="exact"/>
              <w:rPr>
                <w:sz w:val="20"/>
                <w:szCs w:val="20"/>
                <w:color w:val="auto"/>
              </w:rPr>
            </w:pPr>
            <w:r>
              <w:rPr>
                <w:rFonts w:ascii="Times New Roman" w:cs="Times New Roman" w:eastAsia="Times New Roman" w:hAnsi="Times New Roman"/>
                <w:sz w:val="17"/>
                <w:szCs w:val="17"/>
                <w:color w:val="0000FF"/>
                <w:w w:val="98"/>
              </w:rPr>
              <w:t>39,453</w:t>
            </w:r>
            <w:r>
              <w:rPr>
                <w:rFonts w:ascii="Times New Roman" w:cs="Times New Roman" w:eastAsia="Times New Roman" w:hAnsi="Times New Roman"/>
                <w:sz w:val="21"/>
                <w:szCs w:val="21"/>
                <w:color w:val="008000"/>
                <w:w w:val="98"/>
                <w:vertAlign w:val="superscript"/>
              </w:rPr>
              <w:t>(3)</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39,453</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tcPr>
          <w:p>
            <w:pPr>
              <w:ind w:left="60"/>
              <w:spacing w:after="0" w:line="103" w:lineRule="exact"/>
              <w:rPr>
                <w:sz w:val="20"/>
                <w:szCs w:val="20"/>
                <w:color w:val="auto"/>
              </w:rPr>
            </w:pPr>
            <w:r>
              <w:rPr>
                <w:rFonts w:ascii="Times New Roman" w:cs="Times New Roman" w:eastAsia="Times New Roman" w:hAnsi="Times New Roman"/>
                <w:sz w:val="11"/>
                <w:szCs w:val="11"/>
                <w:color w:val="0000FF"/>
              </w:rPr>
              <w:t>(right to</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ind w:left="100"/>
              <w:spacing w:after="0" w:line="103" w:lineRule="exact"/>
              <w:rPr>
                <w:sz w:val="20"/>
                <w:szCs w:val="20"/>
                <w:color w:val="auto"/>
              </w:rPr>
            </w:pPr>
            <w:r>
              <w:rPr>
                <w:rFonts w:ascii="Times New Roman" w:cs="Times New Roman" w:eastAsia="Times New Roman" w:hAnsi="Times New Roman"/>
                <w:sz w:val="11"/>
                <w:szCs w:val="11"/>
                <w:color w:val="0000FF"/>
              </w:rPr>
              <w:t>Shares</w:t>
            </w: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exercise price per share is equal to the fair market value per Ordinary Share on the grant date based on the trading price of the Issuer's American Depositary Shares ("ADSs").</w:t>
      </w:r>
    </w:p>
    <w:p>
      <w:pPr>
        <w:spacing w:after="0" w:line="41" w:lineRule="exact"/>
        <w:rPr>
          <w:rFonts w:ascii="Times New Roman" w:cs="Times New Roman" w:eastAsia="Times New Roman" w:hAnsi="Times New Roman"/>
          <w:sz w:val="13"/>
          <w:szCs w:val="13"/>
          <w:color w:val="008000"/>
        </w:rPr>
      </w:pPr>
    </w:p>
    <w:p>
      <w:pPr>
        <w:ind w:left="40" w:right="3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vest in equal monthly installments over the 12 months following June 17, 2026, provided that the grant will in any case be fully vested on the date immediately prior to the date of the Issuer's 2027 annual shareholder meeting,</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Ordinary Shares of the Issuer may be represented by ADSs. Each ADS represents three Ordinary Shares of the Issuer.</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Jun Yoon, Attorney-in-Fact</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06/18/2026</w:t>
            </w:r>
          </w:p>
        </w:tc>
      </w:tr>
      <w:tr>
        <w:trPr>
          <w:trHeight w:val="224"/>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tcPr>
          <w:p>
            <w:pPr>
              <w:spacing w:after="0"/>
              <w:rPr>
                <w:sz w:val="19"/>
                <w:szCs w:val="19"/>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62413" TargetMode="External"/><Relationship Id="rId14" Type="http://schemas.openxmlformats.org/officeDocument/2006/relationships/hyperlink" Target="http://www.sec.gov/cgi-bin/browse-edgar?action=getcompany&amp;CIK=00018888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2026-06-18T16:19:45Z</dcterms:created>
  <dcterms:modified xsi:type="dcterms:W3CDTF">2026-06-18T16:19:45Z</dcterms:modified>
</cp:coreProperties>
</file>