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13 or 15(d) </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Structure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p>
      <w:pPr>
        <w:spacing w:after="0" w:line="377"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001-41608</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98-1480821</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400" w:space="720"/>
            <w:col w:w="2900" w:space="720"/>
            <w:col w:w="2500"/>
          </w:cols>
          <w:pgMar w:left="320" w:top="511"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601 Gateway Blvd., Suite 900</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South San Francisco,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94080</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135" w:lineRule="exact"/>
        <w:rPr>
          <w:sz w:val="24"/>
          <w:szCs w:val="24"/>
          <w:color w:val="auto"/>
        </w:rPr>
      </w:pPr>
    </w:p>
    <w:p>
      <w:pPr>
        <w:sectPr>
          <w:pgSz w:w="11900" w:h="16838" w:orient="portrait"/>
          <w:cols w:equalWidth="0" w:num="2">
            <w:col w:w="7360" w:space="720"/>
            <w:col w:w="3160"/>
          </w:cols>
          <w:pgMar w:left="320" w:top="511" w:right="339" w:bottom="1440" w:gutter="0" w:footer="0" w:header="0"/>
          <w:type w:val="continuous"/>
        </w:sectPr>
      </w:pPr>
    </w:p>
    <w:p>
      <w:pPr>
        <w:ind w:left="296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457-1978</w:t>
      </w:r>
    </w:p>
    <w:p>
      <w:pPr>
        <w:spacing w:after="0" w:line="158"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c>
          <w:tcPr>
            <w:tcW w:w="3360" w:type="dxa"/>
            <w:vAlign w:val="bottom"/>
          </w:tcPr>
          <w:p>
            <w:pPr>
              <w:spacing w:after="0"/>
              <w:rPr>
                <w:sz w:val="18"/>
                <w:szCs w:val="18"/>
                <w:color w:val="auto"/>
              </w:rPr>
            </w:pPr>
          </w:p>
        </w:tc>
      </w:tr>
      <w:tr>
        <w:trPr>
          <w:trHeight w:val="238"/>
        </w:trPr>
        <w:tc>
          <w:tcPr>
            <w:tcW w:w="5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 </w:t>
            </w:r>
            <w:r>
              <w:rPr>
                <w:rFonts w:ascii="Times New Roman" w:cs="Times New Roman" w:eastAsia="Times New Roman" w:hAnsi="Times New Roman"/>
                <w:sz w:val="18"/>
                <w:szCs w:val="18"/>
                <w:b w:val="1"/>
                <w:bCs w:val="1"/>
                <w:color w:val="auto"/>
                <w:w w:val="97"/>
              </w:rPr>
              <w:t>On Which Registered</w:t>
            </w:r>
          </w:p>
        </w:tc>
      </w:tr>
      <w:tr>
        <w:trPr>
          <w:trHeight w:val="191"/>
        </w:trPr>
        <w:tc>
          <w:tcPr>
            <w:tcW w:w="51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American Depositary Shares (ADSs), each representing three</w:t>
            </w:r>
          </w:p>
        </w:tc>
        <w:tc>
          <w:tcPr>
            <w:tcW w:w="220" w:type="dxa"/>
            <w:vAlign w:val="bottom"/>
          </w:tcPr>
          <w:p>
            <w:pPr>
              <w:spacing w:after="0"/>
              <w:rPr>
                <w:sz w:val="16"/>
                <w:szCs w:val="16"/>
                <w:color w:val="auto"/>
              </w:rPr>
            </w:pPr>
          </w:p>
        </w:tc>
        <w:tc>
          <w:tcPr>
            <w:tcW w:w="2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GPCR</w:t>
            </w:r>
          </w:p>
        </w:tc>
        <w:tc>
          <w:tcPr>
            <w:tcW w:w="22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Nasdaq Global Market</w:t>
            </w:r>
          </w:p>
        </w:tc>
      </w:tr>
      <w:tr>
        <w:trPr>
          <w:trHeight w:val="234"/>
        </w:trPr>
        <w:tc>
          <w:tcPr>
            <w:tcW w:w="5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ordinary shares, par value $0.0001 per ordinary share</w:t>
            </w: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364"/>
        </w:trPr>
        <w:tc>
          <w:tcPr>
            <w:tcW w:w="5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Ordinary shares, par value $0.0001 per share*</w:t>
            </w: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Not for trading, but only in connection with the registration of the American Depositary Shares</w:t>
      </w:r>
    </w:p>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17, 2026, Structure Therapeutics Inc. (the “Company”) held its 2026 Annual General Meeting of Shareholders (the “Annual General Meeting”). As of April 20, 2026, the record date for the Annual General Meeting, 213,213,565 ordinary shares were outstanding and entitled to vote at the Annual General Meeting. A summary of the matters voted upon by shareholders at the Annual General Meeting is set forth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1: Election of Directors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Ted W. Love M.D., Raymond Stevens, Ph.D. and Daniel G. Welch were elected as a Class III directors, to hold office until the 2029 Annual General Meeting of Shareholders and their successors are duly elected and qualified, or until their earlier death, resignation or removal. The final voting results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Director Elected</w:t>
            </w:r>
          </w:p>
        </w:tc>
        <w:tc>
          <w:tcPr>
            <w:tcW w:w="204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0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9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9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Ted W. Love, M.D.</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164,241,780</w:t>
            </w:r>
          </w:p>
        </w:tc>
        <w:tc>
          <w:tcPr>
            <w:tcW w:w="24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533,358</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172,641</w:t>
            </w: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Stevens, Ph.D.</w:t>
            </w:r>
          </w:p>
        </w:tc>
        <w:tc>
          <w:tcPr>
            <w:tcW w:w="1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164,373,741</w:t>
            </w:r>
          </w:p>
        </w:tc>
        <w:tc>
          <w:tcPr>
            <w:tcW w:w="240" w:type="dxa"/>
            <w:vAlign w:val="bottom"/>
          </w:tcPr>
          <w:p>
            <w:pPr>
              <w:spacing w:after="0"/>
              <w:rPr>
                <w:sz w:val="18"/>
                <w:szCs w:val="18"/>
                <w:color w:val="auto"/>
              </w:rPr>
            </w:pPr>
          </w:p>
        </w:tc>
        <w:tc>
          <w:tcPr>
            <w:tcW w:w="1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400,929</w:t>
            </w:r>
          </w:p>
        </w:tc>
        <w:tc>
          <w:tcPr>
            <w:tcW w:w="220" w:type="dxa"/>
            <w:vAlign w:val="bottom"/>
          </w:tcPr>
          <w:p>
            <w:pPr>
              <w:spacing w:after="0"/>
              <w:rPr>
                <w:sz w:val="18"/>
                <w:szCs w:val="18"/>
                <w:color w:val="auto"/>
              </w:rPr>
            </w:pPr>
          </w:p>
        </w:tc>
        <w:tc>
          <w:tcPr>
            <w:tcW w:w="17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173,109</w:t>
            </w:r>
          </w:p>
        </w:tc>
        <w:tc>
          <w:tcPr>
            <w:tcW w:w="200" w:type="dxa"/>
            <w:vAlign w:val="bottom"/>
          </w:tcPr>
          <w:p>
            <w:pPr>
              <w:spacing w:after="0"/>
              <w:rPr>
                <w:sz w:val="18"/>
                <w:szCs w:val="18"/>
                <w:color w:val="auto"/>
              </w:rPr>
            </w:pPr>
          </w:p>
        </w:tc>
        <w:tc>
          <w:tcPr>
            <w:tcW w:w="18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G. Welch</w:t>
            </w:r>
          </w:p>
        </w:tc>
        <w:tc>
          <w:tcPr>
            <w:tcW w:w="1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161,336,058</w:t>
            </w: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3,429,342</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182,379</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2: Ratification of Appointment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shareholders ratified the appointment by the Audit Committee of the Company’s Board of Directors of Ernst &amp; Young LLP as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independent registered public accounting firm for the fiscal year ending December 31, 2026. The final voting results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27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164,767,215</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20,784</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159,780</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3: Advisory vote on the compensation of the Company’s named executive officers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an advisory basis, the shareholders approved the compensation of the Company’s named executive officers, as disclosed in the Company’s proxy statement for the Annual General Meeting. The voting results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7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158,547,441</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6,187,647</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212,691</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675"/>
        </w:trPr>
        <w:tc>
          <w:tcPr>
            <w:tcW w:w="2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Structure Therapeutics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18,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Matthew Lang</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Matthew Lang</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 and General Counsel</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2026-06-18T15:23:43Z</dcterms:created>
  <dcterms:modified xsi:type="dcterms:W3CDTF">2026-06-18T15:23:43Z</dcterms:modified>
</cp:coreProperties>
</file>